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68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6pt;height:57.4pt;mso-position-horizontal-relative:char;mso-position-vertical-relative:line" coordorigin="0,0" coordsize="2712,1148">
            <v:shape style="position:absolute;left:1139;top:824;width:355;height:315" type="#_x0000_t75" stroked="false">
              <v:imagedata r:id="rId5" o:title=""/>
            </v:shape>
            <v:shape style="position:absolute;left:813;top:824;width:279;height:315" type="#_x0000_t75" stroked="false">
              <v:imagedata r:id="rId6" o:title=""/>
            </v:shape>
            <v:shape style="position:absolute;left:0;top:824;width:279;height:315" type="#_x0000_t75" stroked="false">
              <v:imagedata r:id="rId7" o:title=""/>
            </v:shape>
            <v:shape style="position:absolute;left:327;top:824;width:423;height:315" coordorigin="327,825" coordsize="423,315" path="m415,825l343,825,327,825,327,1140,330,1140,412,1140,412,944,412,935,412,929,483,929,421,831,416,826,415,825xm412,1140l409,1140,412,1140,412,1140xm750,929l665,929,665,935,664,944,664,1140,667,1140,750,1140,750,929xm750,1140l747,1140,750,1140,750,1140xm483,929l412,929,480,1039,516,1097,532,1122,541,1133,542,1133,566,1095,608,1026,612,1018,540,1018,483,929xm734,825l662,825,661,826,656,831,543,1018,612,1018,647,959,665,929,750,929,750,825,734,825xe" filled="true" fillcolor="#004b8d" stroked="false">
              <v:path arrowok="t"/>
              <v:fill type="solid"/>
            </v:shape>
            <v:shape style="position:absolute;left:1828;top:817;width:370;height:331" type="#_x0000_t75" stroked="false">
              <v:imagedata r:id="rId8" o:title=""/>
            </v:shape>
            <v:shape style="position:absolute;left:2246;top:824;width:345;height:317" type="#_x0000_t75" stroked="false">
              <v:imagedata r:id="rId9" o:title=""/>
            </v:shape>
            <v:shape style="position:absolute;left:1498;top:817;width:300;height:331" type="#_x0000_t75" stroked="false">
              <v:imagedata r:id="rId10" o:title=""/>
            </v:shape>
            <v:shape style="position:absolute;left:1093;top:0;width:461;height:679" type="#_x0000_t75" stroked="false">
              <v:imagedata r:id="rId11" o:title=""/>
            </v:shape>
            <v:shape style="position:absolute;left:1037;top:188;width:515;height:585" type="#_x0000_t75" stroked="false">
              <v:imagedata r:id="rId12" o:title=""/>
            </v:shape>
            <v:shape style="position:absolute;left:2628;top:1100;width:34;height:40" coordorigin="2629,1100" coordsize="34,40" path="m2648,1104l2643,1104,2643,1140,2648,1140,2648,1104xm2662,1100l2629,1100,2629,1104,2662,1104,2662,1100xe" filled="true" fillcolor="#004b8d" stroked="false">
              <v:path arrowok="t"/>
              <v:fill type="solid"/>
            </v:shape>
            <v:shape style="position:absolute;left:2668;top:1100;width:44;height:40" coordorigin="2668,1100" coordsize="44,40" path="m2677,1100l2668,1100,2668,1140,2673,1140,2673,1104,2678,1104,2677,1100xm2678,1104l2673,1104,2687,1140,2693,1140,2695,1134,2691,1134,2678,1104xm2712,1103l2707,1103,2707,1140,2712,1140,2712,1103xm2712,1100l2704,1100,2691,1134,2695,1134,2707,1103,2712,1103,2712,1100xe" filled="true" fillcolor="#004b8d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6"/>
          <w:sz w:val="20"/>
        </w:rPr>
        <w:pict>
          <v:group style="width:337.7pt;height:34.4pt;mso-position-horizontal-relative:char;mso-position-vertical-relative:line" coordorigin="0,0" coordsize="6754,688">
            <v:rect style="position:absolute;left:0;top:0;width:6754;height:688" filled="true" fillcolor="#6d6e7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754;height:688" type="#_x0000_t202" filled="false" stroked="false">
              <v:textbox inset="0,0,0,0">
                <w:txbxContent>
                  <w:p>
                    <w:pPr>
                      <w:spacing w:line="274" w:lineRule="exact" w:before="118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ATEX - Operating and Safety Instructions</w:t>
                    </w:r>
                  </w:p>
                  <w:p>
                    <w:pPr>
                      <w:spacing w:line="205" w:lineRule="exact" w:before="0"/>
                      <w:ind w:left="11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Resilient Seated Butterfly Valves (F320/F322)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86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0" w:bottom="0" w:left="980" w:right="400"/>
        </w:sectPr>
      </w:pPr>
    </w:p>
    <w:p>
      <w:pPr>
        <w:spacing w:before="185"/>
        <w:ind w:left="10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KEYSTONE</w:t>
      </w:r>
    </w:p>
    <w:p>
      <w:pPr>
        <w:pStyle w:val="Heading1"/>
        <w:spacing w:line="243" w:lineRule="exact"/>
      </w:pPr>
      <w:r>
        <w:rPr>
          <w:b w:val="0"/>
        </w:rPr>
        <w:br w:type="column"/>
      </w:r>
      <w:r>
        <w:rPr>
          <w:color w:val="231F20"/>
        </w:rPr>
        <w:t>Additional Safety instructions for Valves used in</w:t>
      </w:r>
    </w:p>
    <w:p>
      <w:pPr>
        <w:spacing w:before="1"/>
        <w:ind w:left="10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Potentially Explosive Atmosphere under ATEX 94/9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0" w:bottom="0" w:left="980" w:right="400"/>
          <w:cols w:num="2" w:equalWidth="0">
            <w:col w:w="1332" w:space="2237"/>
            <w:col w:w="69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2"/>
        <w:tabs>
          <w:tab w:pos="10415" w:val="left" w:leader="none"/>
        </w:tabs>
      </w:pPr>
      <w:r>
        <w:rPr>
          <w:color w:val="FFFFFF"/>
          <w:w w:val="102"/>
          <w:shd w:fill="A7A9AC" w:color="auto" w:val="clear"/>
        </w:rPr>
        <w:t> </w:t>
      </w:r>
      <w:r>
        <w:rPr>
          <w:color w:val="FFFFFF"/>
          <w:shd w:fill="A7A9AC" w:color="auto" w:val="clear"/>
        </w:rPr>
        <w:t> </w:t>
      </w:r>
      <w:r>
        <w:rPr>
          <w:color w:val="FFFFFF"/>
          <w:spacing w:val="-21"/>
          <w:shd w:fill="A7A9AC" w:color="auto" w:val="clear"/>
        </w:rPr>
        <w:t> </w:t>
      </w:r>
      <w:r>
        <w:rPr>
          <w:color w:val="FFFFFF"/>
          <w:shd w:fill="A7A9AC" w:color="auto" w:val="clear"/>
        </w:rPr>
        <w:t>Marking</w:t>
        <w:tab/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40" w:lineRule="auto" w:before="106" w:after="0"/>
        <w:ind w:left="3838" w:right="0" w:hanging="170"/>
        <w:jc w:val="left"/>
        <w:rPr>
          <w:sz w:val="16"/>
        </w:rPr>
      </w:pPr>
      <w:r>
        <w:rPr>
          <w:color w:val="231F20"/>
          <w:sz w:val="16"/>
        </w:rPr>
        <w:t>ATEX 94/9/EC, Group II, category 2/3,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GD.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tabs>
          <w:tab w:pos="10415" w:val="left" w:leader="none"/>
        </w:tabs>
        <w:spacing w:before="105"/>
      </w:pPr>
      <w:r>
        <w:rPr>
          <w:color w:val="FFFFFF"/>
          <w:w w:val="102"/>
          <w:shd w:fill="A7A9AC" w:color="auto" w:val="clear"/>
        </w:rPr>
        <w:t> </w:t>
      </w:r>
      <w:r>
        <w:rPr>
          <w:color w:val="FFFFFF"/>
          <w:shd w:fill="A7A9AC" w:color="auto" w:val="clear"/>
        </w:rPr>
        <w:t> </w:t>
      </w:r>
      <w:r>
        <w:rPr>
          <w:color w:val="FFFFFF"/>
          <w:spacing w:val="-21"/>
          <w:shd w:fill="A7A9AC" w:color="auto" w:val="clear"/>
        </w:rPr>
        <w:t> </w:t>
      </w:r>
      <w:r>
        <w:rPr>
          <w:color w:val="FFFFFF"/>
          <w:shd w:fill="A7A9AC" w:color="auto" w:val="clear"/>
        </w:rPr>
        <w:t>Reference</w:t>
        <w:tab/>
      </w:r>
    </w:p>
    <w:p>
      <w:pPr>
        <w:pStyle w:val="BodyText"/>
        <w:spacing w:before="95"/>
        <w:ind w:left="3668"/>
      </w:pPr>
      <w:r>
        <w:rPr>
          <w:color w:val="231F20"/>
        </w:rPr>
        <w:t>These are additional safety instructions to PED document number:</w:t>
      </w:r>
    </w:p>
    <w:p>
      <w:pPr>
        <w:spacing w:before="30"/>
        <w:ind w:left="2055" w:right="4321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EBPJV-0771.</w:t>
      </w:r>
    </w:p>
    <w:p>
      <w:pPr>
        <w:pStyle w:val="BodyText"/>
        <w:spacing w:before="8"/>
        <w:ind w:left="3599" w:right="4321"/>
        <w:jc w:val="center"/>
      </w:pPr>
      <w:r>
        <w:rPr>
          <w:color w:val="231F20"/>
        </w:rPr>
        <w:t>See also: </w:t>
      </w:r>
      <w:hyperlink r:id="rId13">
        <w:r>
          <w:rPr>
            <w:color w:val="231F20"/>
          </w:rPr>
          <w:t>www.valves.emerson.com</w:t>
        </w:r>
      </w:hyperlink>
    </w:p>
    <w:p>
      <w:pPr>
        <w:pStyle w:val="BodyText"/>
        <w:spacing w:before="5"/>
        <w:rPr>
          <w:sz w:val="26"/>
        </w:rPr>
      </w:pPr>
    </w:p>
    <w:p>
      <w:pPr>
        <w:pStyle w:val="Heading2"/>
        <w:tabs>
          <w:tab w:pos="10415" w:val="left" w:leader="none"/>
        </w:tabs>
        <w:spacing w:before="105"/>
      </w:pPr>
      <w:r>
        <w:rPr>
          <w:color w:val="FFFFFF"/>
          <w:w w:val="102"/>
          <w:shd w:fill="A7A9AC" w:color="auto" w:val="clear"/>
        </w:rPr>
        <w:t> </w:t>
      </w:r>
      <w:r>
        <w:rPr>
          <w:color w:val="FFFFFF"/>
          <w:shd w:fill="A7A9AC" w:color="auto" w:val="clear"/>
        </w:rPr>
        <w:t> </w:t>
      </w:r>
      <w:r>
        <w:rPr>
          <w:color w:val="FFFFFF"/>
          <w:spacing w:val="-21"/>
          <w:shd w:fill="A7A9AC" w:color="auto" w:val="clear"/>
        </w:rPr>
        <w:t> </w:t>
      </w:r>
      <w:r>
        <w:rPr>
          <w:color w:val="FFFFFF"/>
          <w:shd w:fill="A7A9AC" w:color="auto" w:val="clear"/>
        </w:rPr>
        <w:t>Selection</w:t>
        <w:tab/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106" w:after="0"/>
        <w:ind w:left="3838" w:right="154" w:hanging="170"/>
        <w:jc w:val="left"/>
        <w:rPr>
          <w:sz w:val="16"/>
        </w:rPr>
      </w:pPr>
      <w:r>
        <w:rPr>
          <w:color w:val="231F20"/>
          <w:sz w:val="16"/>
        </w:rPr>
        <w:t>Ensure that the equipment is marked with the correct equipment group, category and type of atmosphere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application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safety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instructions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followed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each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item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5"/>
          <w:sz w:val="16"/>
        </w:rPr>
        <w:t>the </w:t>
      </w:r>
      <w:r>
        <w:rPr>
          <w:color w:val="231F20"/>
          <w:sz w:val="16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1" w:after="0"/>
        <w:ind w:left="3838" w:right="613" w:hanging="170"/>
        <w:jc w:val="left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particular,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items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included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actuated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package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valve,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actuator,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solenoid,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limit switchbox,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control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panel,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etc.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should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CE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marked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ATEX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appropriate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7"/>
          <w:sz w:val="16"/>
        </w:rPr>
        <w:t>or </w:t>
      </w:r>
      <w:r>
        <w:rPr>
          <w:color w:val="231F20"/>
          <w:sz w:val="16"/>
        </w:rPr>
        <w:t>requested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category.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10415" w:val="left" w:leader="none"/>
        </w:tabs>
      </w:pPr>
      <w:r>
        <w:rPr>
          <w:color w:val="FFFFFF"/>
          <w:w w:val="102"/>
          <w:shd w:fill="A7A9AC" w:color="auto" w:val="clear"/>
        </w:rPr>
        <w:t> </w:t>
      </w:r>
      <w:r>
        <w:rPr>
          <w:color w:val="FFFFFF"/>
          <w:shd w:fill="A7A9AC" w:color="auto" w:val="clear"/>
        </w:rPr>
        <w:t> </w:t>
      </w:r>
      <w:r>
        <w:rPr>
          <w:color w:val="FFFFFF"/>
          <w:spacing w:val="-21"/>
          <w:shd w:fill="A7A9AC" w:color="auto" w:val="clear"/>
        </w:rPr>
        <w:t> </w:t>
      </w:r>
      <w:r>
        <w:rPr>
          <w:color w:val="FFFFFF"/>
          <w:shd w:fill="A7A9AC" w:color="auto" w:val="clear"/>
        </w:rPr>
        <w:t>Installation</w:t>
        <w:tab/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40" w:lineRule="auto" w:before="106" w:after="0"/>
        <w:ind w:left="3838" w:right="0" w:hanging="17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installer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must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tooling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appropriate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working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area,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1127-1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Annex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40" w:lineRule="auto" w:before="26" w:after="0"/>
        <w:ind w:left="3838" w:right="0" w:hanging="170"/>
        <w:jc w:val="left"/>
        <w:rPr>
          <w:sz w:val="16"/>
        </w:rPr>
      </w:pPr>
      <w:r>
        <w:rPr>
          <w:color w:val="231F20"/>
          <w:sz w:val="16"/>
        </w:rPr>
        <w:t>Installation has to be carried out at ambient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temperature.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26" w:after="0"/>
        <w:ind w:left="3838" w:right="294" w:hanging="170"/>
        <w:jc w:val="left"/>
        <w:rPr>
          <w:sz w:val="16"/>
        </w:rPr>
      </w:pPr>
      <w:r>
        <w:rPr>
          <w:color w:val="231F20"/>
          <w:sz w:val="16"/>
        </w:rPr>
        <w:t>During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installation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ensure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metallic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shocks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impacts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made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equipment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the </w:t>
      </w:r>
      <w:r>
        <w:rPr>
          <w:color w:val="231F20"/>
          <w:sz w:val="16"/>
        </w:rPr>
        <w:t>adjacent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pipework.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40" w:lineRule="auto" w:before="0" w:after="0"/>
        <w:ind w:left="3838" w:right="0" w:hanging="170"/>
        <w:jc w:val="left"/>
        <w:rPr>
          <w:sz w:val="16"/>
        </w:rPr>
      </w:pPr>
      <w:r>
        <w:rPr>
          <w:color w:val="231F20"/>
          <w:sz w:val="16"/>
        </w:rPr>
        <w:t>Ensure that the equipment is suitably earthed, through the pipe or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individually.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26" w:after="0"/>
        <w:ind w:left="3838" w:right="336" w:hanging="17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installer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should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thoroughly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follow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operating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safety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instructions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provided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4"/>
          <w:sz w:val="16"/>
        </w:rPr>
        <w:t>each </w:t>
      </w:r>
      <w:r>
        <w:rPr>
          <w:color w:val="231F20"/>
          <w:sz w:val="16"/>
        </w:rPr>
        <w:t>individual item of an actuated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package.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1" w:after="0"/>
        <w:ind w:left="3838" w:right="316" w:hanging="170"/>
        <w:jc w:val="left"/>
        <w:rPr>
          <w:sz w:val="16"/>
        </w:rPr>
      </w:pPr>
      <w:r>
        <w:rPr>
          <w:color w:val="231F20"/>
          <w:sz w:val="16"/>
        </w:rPr>
        <w:t>When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valve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handle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hot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fluids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fluids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where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exothermic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reactions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take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place, 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end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user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must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take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necessary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measures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ensure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hot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surface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3"/>
          <w:sz w:val="16"/>
        </w:rPr>
        <w:t>valve </w:t>
      </w:r>
      <w:r>
        <w:rPr>
          <w:color w:val="231F20"/>
          <w:sz w:val="16"/>
        </w:rPr>
        <w:t>cannot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provide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source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ignition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surrounding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gas,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vapor,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mist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dust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atmosphere.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0" w:after="0"/>
        <w:ind w:left="3838" w:right="185" w:hanging="170"/>
        <w:jc w:val="left"/>
        <w:rPr>
          <w:sz w:val="16"/>
        </w:rPr>
      </w:pPr>
      <w:r>
        <w:rPr>
          <w:color w:val="231F20"/>
          <w:sz w:val="16"/>
        </w:rPr>
        <w:t>Before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putting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into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operation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dangerous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fluid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ensure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release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the </w:t>
      </w:r>
      <w:r>
        <w:rPr>
          <w:color w:val="231F20"/>
          <w:sz w:val="16"/>
        </w:rPr>
        <w:t>fluid to atmosphere can take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place.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10415" w:val="left" w:leader="none"/>
        </w:tabs>
      </w:pPr>
      <w:r>
        <w:rPr>
          <w:color w:val="FFFFFF"/>
          <w:w w:val="102"/>
          <w:shd w:fill="A7A9AC" w:color="auto" w:val="clear"/>
        </w:rPr>
        <w:t> </w:t>
      </w:r>
      <w:r>
        <w:rPr>
          <w:color w:val="FFFFFF"/>
          <w:shd w:fill="A7A9AC" w:color="auto" w:val="clear"/>
        </w:rPr>
        <w:t> </w:t>
      </w:r>
      <w:r>
        <w:rPr>
          <w:color w:val="FFFFFF"/>
          <w:spacing w:val="-21"/>
          <w:shd w:fill="A7A9AC" w:color="auto" w:val="clear"/>
        </w:rPr>
        <w:t> </w:t>
      </w:r>
      <w:r>
        <w:rPr>
          <w:color w:val="FFFFFF"/>
          <w:shd w:fill="A7A9AC" w:color="auto" w:val="clear"/>
        </w:rPr>
        <w:t>Maintenance</w:t>
        <w:tab/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105" w:after="0"/>
        <w:ind w:left="3838" w:right="259" w:hanging="17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operator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must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ensure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personnel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qualified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work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potentially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hazardous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area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allowed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carry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maintenance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appropriate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category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equipment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use.</w:t>
      </w: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73" w:lineRule="auto" w:before="1" w:after="0"/>
        <w:ind w:left="3838" w:right="704" w:hanging="17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user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must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ensure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tooling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appropriate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working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area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used,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5"/>
          <w:sz w:val="16"/>
        </w:rPr>
        <w:t>see </w:t>
      </w:r>
      <w:r>
        <w:rPr>
          <w:color w:val="231F20"/>
          <w:sz w:val="16"/>
        </w:rPr>
        <w:t>EN 1127-1 Annex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136"/>
        <w:ind w:left="100" w:right="0" w:firstLine="0"/>
        <w:jc w:val="left"/>
        <w:rPr>
          <w:b/>
          <w:sz w:val="14"/>
        </w:rPr>
      </w:pPr>
      <w:r>
        <w:rPr/>
        <w:pict>
          <v:group style="position:absolute;margin-left:232.440002pt;margin-top:7.015918pt;width:337.35pt;height:28.35pt;mso-position-horizontal-relative:page;mso-position-vertical-relative:paragraph;z-index:1144" coordorigin="4649,140" coordsize="6747,567">
            <v:rect style="position:absolute;left:4648;top:140;width:6747;height:567" filled="true" fillcolor="#939598" stroked="false">
              <v:fill type="solid"/>
            </v:rect>
            <v:shape style="position:absolute;left:4762;top:162;width:4265;height:1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Emerson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reserves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3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right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to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change</w:t>
                    </w:r>
                    <w:r>
                      <w:rPr>
                        <w:b/>
                        <w:color w:val="FFFFFF"/>
                        <w:spacing w:val="-13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contents</w:t>
                    </w:r>
                    <w:r>
                      <w:rPr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without</w:t>
                    </w:r>
                    <w:r>
                      <w:rPr>
                        <w:b/>
                        <w:color w:val="FFFFFF"/>
                        <w:spacing w:val="-13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notice</w:t>
                    </w:r>
                  </w:p>
                </w:txbxContent>
              </v:textbox>
              <w10:wrap type="none"/>
            </v:shape>
            <v:shape style="position:absolute;left:9924;top:162;width:1378;height:1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4"/>
                      </w:rPr>
                      <w:t>EBPJV-0773-EN-1309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13">
        <w:r>
          <w:rPr>
            <w:b/>
            <w:sz w:val="14"/>
          </w:rPr>
          <w:t>www.valves.emerson.com</w:t>
        </w:r>
      </w:hyperlink>
    </w:p>
    <w:sectPr>
      <w:type w:val="continuous"/>
      <w:pgSz w:w="11910" w:h="16840"/>
      <w:pgMar w:top="0" w:bottom="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38" w:hanging="171"/>
      </w:pPr>
      <w:rPr>
        <w:rFonts w:hint="default" w:ascii="Arial" w:hAnsi="Arial" w:eastAsia="Arial" w:cs="Arial"/>
        <w:color w:val="231F20"/>
        <w:w w:val="146"/>
        <w:sz w:val="16"/>
        <w:szCs w:val="16"/>
      </w:rPr>
    </w:lvl>
    <w:lvl w:ilvl="1">
      <w:start w:val="0"/>
      <w:numFmt w:val="bullet"/>
      <w:lvlText w:val="•"/>
      <w:lvlJc w:val="left"/>
      <w:pPr>
        <w:ind w:left="450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7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6"/>
      <w:ind w:left="3668"/>
      <w:outlineLvl w:val="2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"/>
      <w:ind w:left="3838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valves.emerson.com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keywords>Keystone, Isolation-Shut-off-Valves, Butterfly-Valves</cp:keywords>
  <dc:subject>Additional Safety instructions for Valves used in Potentially Explosive Atmosphere under ATEX 94/9</dc:subject>
  <dc:title>Guide: ATEX - Operating and Safety Instructions, Keystone, Isolation Valves (VCOSI-00773-EN)</dc:title>
  <dcterms:created xsi:type="dcterms:W3CDTF">2019-06-22T16:56:04Z</dcterms:created>
  <dcterms:modified xsi:type="dcterms:W3CDTF">2019-06-22T16:56:04Z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MCM Plus</vt:lpwstr>
  </property>
  <property fmtid="{D5CDD505-2E9C-101B-9397-08002B2CF9AE}" pid="4" name="LastSaved">
    <vt:filetime>2019-06-22T00:00:00Z</vt:filetime>
  </property>
</Properties>
</file>